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53" w:rsidRDefault="00CA7E60" w:rsidP="00CA7E60">
      <w:pPr>
        <w:spacing w:after="0" w:line="240" w:lineRule="auto"/>
      </w:pPr>
      <w:r>
        <w:t>Kari Pratt</w:t>
      </w:r>
    </w:p>
    <w:p w:rsidR="00CA7E60" w:rsidRDefault="00CA7E60" w:rsidP="00CA7E60">
      <w:pPr>
        <w:spacing w:after="0" w:line="240" w:lineRule="auto"/>
      </w:pPr>
      <w:r>
        <w:t>KSP 602 – Informal Assessment</w:t>
      </w:r>
    </w:p>
    <w:p w:rsidR="00CA7E60" w:rsidRDefault="00CA7E60" w:rsidP="00CA7E60">
      <w:pPr>
        <w:spacing w:after="0" w:line="240" w:lineRule="auto"/>
      </w:pPr>
    </w:p>
    <w:p w:rsidR="00CA7E60" w:rsidRDefault="00844F42" w:rsidP="00CA7E60">
      <w:pPr>
        <w:spacing w:after="0" w:line="240" w:lineRule="auto"/>
      </w:pPr>
      <w:r>
        <w:t>Unit:  Number Patterns</w:t>
      </w:r>
      <w:r w:rsidR="00251BF1">
        <w:t xml:space="preserve"> and Fractions</w:t>
      </w:r>
    </w:p>
    <w:p w:rsidR="00844F42" w:rsidRDefault="00844F42" w:rsidP="00CA7E60">
      <w:pPr>
        <w:spacing w:after="0" w:line="240" w:lineRule="auto"/>
      </w:pPr>
      <w:r>
        <w:t>Topic:  Section 4.3 – Equivalent Fractions</w:t>
      </w:r>
    </w:p>
    <w:p w:rsidR="00844F42" w:rsidRDefault="00844F42" w:rsidP="00CA7E60">
      <w:pPr>
        <w:spacing w:after="0" w:line="240" w:lineRule="auto"/>
      </w:pPr>
    </w:p>
    <w:p w:rsidR="00844F42" w:rsidRDefault="00844F42" w:rsidP="00CA7E60">
      <w:pPr>
        <w:spacing w:after="0" w:line="240" w:lineRule="auto"/>
      </w:pPr>
      <w:r>
        <w:t xml:space="preserve">Learner Outcomes: </w:t>
      </w:r>
    </w:p>
    <w:p w:rsidR="00844F42" w:rsidRDefault="00844F42" w:rsidP="00844F42">
      <w:pPr>
        <w:pStyle w:val="ListParagraph"/>
        <w:numPr>
          <w:ilvl w:val="0"/>
          <w:numId w:val="1"/>
        </w:numPr>
        <w:spacing w:after="0" w:line="240" w:lineRule="auto"/>
      </w:pPr>
      <w:r>
        <w:t xml:space="preserve">Student will document and use key vocabulary:  fraction, numerator, denominator, equivalent fractions, and simplest form. </w:t>
      </w:r>
    </w:p>
    <w:p w:rsidR="00844F42" w:rsidRDefault="00844F42" w:rsidP="00844F42">
      <w:pPr>
        <w:pStyle w:val="ListParagraph"/>
        <w:numPr>
          <w:ilvl w:val="0"/>
          <w:numId w:val="1"/>
        </w:numPr>
        <w:spacing w:after="0" w:line="240" w:lineRule="auto"/>
      </w:pPr>
      <w:r>
        <w:t>Student will reduce fractions to simplest form</w:t>
      </w:r>
    </w:p>
    <w:p w:rsidR="00844F42" w:rsidRDefault="00844F42" w:rsidP="00844F42">
      <w:pPr>
        <w:pStyle w:val="ListParagraph"/>
        <w:numPr>
          <w:ilvl w:val="0"/>
          <w:numId w:val="1"/>
        </w:numPr>
        <w:spacing w:after="0" w:line="240" w:lineRule="auto"/>
      </w:pPr>
      <w:r>
        <w:t>Student will write other equivalent fractions</w:t>
      </w:r>
    </w:p>
    <w:p w:rsidR="00844F42" w:rsidRDefault="00844F42" w:rsidP="00844F42">
      <w:pPr>
        <w:pStyle w:val="ListParagraph"/>
        <w:numPr>
          <w:ilvl w:val="0"/>
          <w:numId w:val="1"/>
        </w:numPr>
        <w:spacing w:after="0" w:line="240" w:lineRule="auto"/>
      </w:pPr>
      <w:r>
        <w:t>Student will compare fractions to determine if they are equivalent</w:t>
      </w:r>
    </w:p>
    <w:p w:rsidR="00844F42" w:rsidRDefault="00844F42" w:rsidP="00CA7E60">
      <w:pPr>
        <w:spacing w:after="0" w:line="240" w:lineRule="auto"/>
      </w:pPr>
    </w:p>
    <w:p w:rsidR="00CC51DC" w:rsidRDefault="00A07304" w:rsidP="00251BF1">
      <w:pPr>
        <w:spacing w:after="0" w:line="240" w:lineRule="auto"/>
        <w:ind w:firstLine="720"/>
      </w:pPr>
      <w:r>
        <w:t>The last lesson that I presented to Mrs. Thul’s 7</w:t>
      </w:r>
      <w:r w:rsidRPr="00A07304">
        <w:rPr>
          <w:vertAlign w:val="superscript"/>
        </w:rPr>
        <w:t>th</w:t>
      </w:r>
      <w:r>
        <w:t xml:space="preserve"> grade math class was on the topic of equivalent fractions.  Although this topic has been discussed in prior grades, it was the first time during this school year that the students have worked with the notion of fractions.  The first 20 minutes of the lesson were spent having students complete the previous day’s homework assignment and then correcting the assignment.  I taught the new lesson for approximately 20 minutes, and then assigned the next homework assignment.  After giving students a few minutes to start the homework, I had students complete the student survey form to determine </w:t>
      </w:r>
      <w:r w:rsidR="00CC51DC">
        <w:t xml:space="preserve">how effectively I taught the lesson.  My analysis of the student responses follows. </w:t>
      </w:r>
    </w:p>
    <w:p w:rsidR="00CC51DC" w:rsidRDefault="00CC51DC" w:rsidP="00251BF1">
      <w:pPr>
        <w:spacing w:after="0" w:line="240" w:lineRule="auto"/>
        <w:ind w:firstLine="720"/>
      </w:pPr>
      <w:r>
        <w:t xml:space="preserve">The students were quite attentive during my lesson, and the results of the survey confirmed my overall feeling of how the lesson went. </w:t>
      </w:r>
      <w:r w:rsidR="00A07304">
        <w:t xml:space="preserve">  </w:t>
      </w:r>
      <w:r>
        <w:t xml:space="preserve">The first question on the survey given to the 23 students in class that day asked about the main idea behind the lesson I taught.  The following chart shows </w:t>
      </w:r>
      <w:r w:rsidR="00FD6503">
        <w:t xml:space="preserve">the student responses to the prompt.  Overall, 96% of students listed one or more of the learner outcomes outlined above.   </w:t>
      </w:r>
    </w:p>
    <w:tbl>
      <w:tblPr>
        <w:tblStyle w:val="TableGrid"/>
        <w:tblpPr w:leftFromText="180" w:rightFromText="180" w:vertAnchor="text" w:tblpXSpec="center" w:tblpY="1"/>
        <w:tblOverlap w:val="never"/>
        <w:tblW w:w="0" w:type="auto"/>
        <w:jc w:val="center"/>
        <w:tblLook w:val="04A0"/>
      </w:tblPr>
      <w:tblGrid>
        <w:gridCol w:w="2448"/>
        <w:gridCol w:w="1440"/>
      </w:tblGrid>
      <w:tr w:rsidR="00CC51DC" w:rsidTr="00CC51DC">
        <w:trPr>
          <w:trHeight w:val="258"/>
          <w:jc w:val="center"/>
        </w:trPr>
        <w:tc>
          <w:tcPr>
            <w:tcW w:w="2448" w:type="dxa"/>
            <w:vAlign w:val="center"/>
          </w:tcPr>
          <w:p w:rsidR="00CC51DC" w:rsidRPr="00CC51DC" w:rsidRDefault="00CC51DC" w:rsidP="00CC51DC">
            <w:pPr>
              <w:jc w:val="center"/>
              <w:rPr>
                <w:i/>
              </w:rPr>
            </w:pPr>
            <w:r w:rsidRPr="00CC51DC">
              <w:rPr>
                <w:i/>
              </w:rPr>
              <w:t>Student Response:</w:t>
            </w:r>
            <w:r w:rsidR="00FD6503">
              <w:rPr>
                <w:i/>
              </w:rPr>
              <w:br/>
            </w:r>
            <w:r w:rsidR="00FD6503" w:rsidRPr="00FD6503">
              <w:rPr>
                <w:i/>
                <w:sz w:val="18"/>
                <w:szCs w:val="18"/>
              </w:rPr>
              <w:t>(Main Idea of today’s lesson)</w:t>
            </w:r>
          </w:p>
        </w:tc>
        <w:tc>
          <w:tcPr>
            <w:tcW w:w="1440" w:type="dxa"/>
            <w:vAlign w:val="center"/>
          </w:tcPr>
          <w:p w:rsidR="00CC51DC" w:rsidRPr="00CC51DC" w:rsidRDefault="00CC51DC" w:rsidP="00CC51DC">
            <w:pPr>
              <w:jc w:val="center"/>
              <w:rPr>
                <w:i/>
              </w:rPr>
            </w:pPr>
            <w:r w:rsidRPr="00CC51DC">
              <w:rPr>
                <w:i/>
              </w:rPr>
              <w:t>Number of Responses:</w:t>
            </w:r>
          </w:p>
        </w:tc>
      </w:tr>
      <w:tr w:rsidR="00CC51DC" w:rsidTr="00CC51DC">
        <w:trPr>
          <w:trHeight w:val="258"/>
          <w:jc w:val="center"/>
        </w:trPr>
        <w:tc>
          <w:tcPr>
            <w:tcW w:w="2448" w:type="dxa"/>
          </w:tcPr>
          <w:p w:rsidR="00CC51DC" w:rsidRDefault="00CC51DC" w:rsidP="00CC51DC">
            <w:r>
              <w:t>Fractions</w:t>
            </w:r>
          </w:p>
        </w:tc>
        <w:tc>
          <w:tcPr>
            <w:tcW w:w="1440" w:type="dxa"/>
          </w:tcPr>
          <w:p w:rsidR="00CC51DC" w:rsidRDefault="00CC51DC" w:rsidP="00CC51DC">
            <w:pPr>
              <w:jc w:val="center"/>
            </w:pPr>
            <w:r>
              <w:t>11</w:t>
            </w:r>
          </w:p>
        </w:tc>
      </w:tr>
      <w:tr w:rsidR="00CC51DC" w:rsidTr="00CC51DC">
        <w:trPr>
          <w:trHeight w:val="273"/>
          <w:jc w:val="center"/>
        </w:trPr>
        <w:tc>
          <w:tcPr>
            <w:tcW w:w="2448" w:type="dxa"/>
          </w:tcPr>
          <w:p w:rsidR="00CC51DC" w:rsidRDefault="00CC51DC" w:rsidP="00CC51DC">
            <w:r>
              <w:t>Equivalent Fractions</w:t>
            </w:r>
          </w:p>
        </w:tc>
        <w:tc>
          <w:tcPr>
            <w:tcW w:w="1440" w:type="dxa"/>
          </w:tcPr>
          <w:p w:rsidR="00CC51DC" w:rsidRDefault="00CC51DC" w:rsidP="00CC51DC">
            <w:pPr>
              <w:jc w:val="center"/>
            </w:pPr>
            <w:r>
              <w:t>10</w:t>
            </w:r>
          </w:p>
        </w:tc>
      </w:tr>
      <w:tr w:rsidR="00CC51DC" w:rsidTr="00CC51DC">
        <w:trPr>
          <w:trHeight w:val="273"/>
          <w:jc w:val="center"/>
        </w:trPr>
        <w:tc>
          <w:tcPr>
            <w:tcW w:w="2448" w:type="dxa"/>
          </w:tcPr>
          <w:p w:rsidR="00CC51DC" w:rsidRDefault="00CC51DC" w:rsidP="00CC51DC">
            <w:r>
              <w:t>Simplest Form</w:t>
            </w:r>
          </w:p>
        </w:tc>
        <w:tc>
          <w:tcPr>
            <w:tcW w:w="1440" w:type="dxa"/>
          </w:tcPr>
          <w:p w:rsidR="00CC51DC" w:rsidRDefault="00CC51DC" w:rsidP="00CC51DC">
            <w:pPr>
              <w:jc w:val="center"/>
            </w:pPr>
            <w:r>
              <w:t>1</w:t>
            </w:r>
          </w:p>
        </w:tc>
      </w:tr>
      <w:tr w:rsidR="00CC51DC" w:rsidTr="00CC51DC">
        <w:trPr>
          <w:trHeight w:val="273"/>
          <w:jc w:val="center"/>
        </w:trPr>
        <w:tc>
          <w:tcPr>
            <w:tcW w:w="2448" w:type="dxa"/>
          </w:tcPr>
          <w:p w:rsidR="00CC51DC" w:rsidRDefault="00CC51DC" w:rsidP="00CC51DC">
            <w:r>
              <w:t>Common Factors</w:t>
            </w:r>
          </w:p>
        </w:tc>
        <w:tc>
          <w:tcPr>
            <w:tcW w:w="1440" w:type="dxa"/>
          </w:tcPr>
          <w:p w:rsidR="00CC51DC" w:rsidRDefault="00CC51DC" w:rsidP="00CC51DC">
            <w:pPr>
              <w:jc w:val="center"/>
            </w:pPr>
            <w:r>
              <w:t>1</w:t>
            </w:r>
          </w:p>
        </w:tc>
      </w:tr>
    </w:tbl>
    <w:p w:rsidR="00CC51DC" w:rsidRDefault="00CC51DC" w:rsidP="00CC51DC">
      <w:pPr>
        <w:spacing w:after="0" w:line="240" w:lineRule="auto"/>
      </w:pPr>
    </w:p>
    <w:p w:rsidR="00CC51DC" w:rsidRDefault="00CC51DC" w:rsidP="00CC51DC">
      <w:pPr>
        <w:spacing w:after="0" w:line="240" w:lineRule="auto"/>
      </w:pPr>
    </w:p>
    <w:p w:rsidR="00CC51DC" w:rsidRDefault="00CC51DC" w:rsidP="00CC51DC">
      <w:pPr>
        <w:spacing w:after="0" w:line="240" w:lineRule="auto"/>
      </w:pPr>
    </w:p>
    <w:p w:rsidR="00CC51DC" w:rsidRDefault="00CC51DC" w:rsidP="00CC51DC">
      <w:pPr>
        <w:spacing w:after="0" w:line="240" w:lineRule="auto"/>
      </w:pPr>
    </w:p>
    <w:p w:rsidR="00CC51DC" w:rsidRDefault="00CC51DC" w:rsidP="00CC51DC">
      <w:pPr>
        <w:spacing w:after="0" w:line="240" w:lineRule="auto"/>
      </w:pPr>
    </w:p>
    <w:p w:rsidR="00CC51DC" w:rsidRDefault="00CC51DC" w:rsidP="00CC51DC">
      <w:pPr>
        <w:spacing w:after="0" w:line="240" w:lineRule="auto"/>
      </w:pPr>
    </w:p>
    <w:p w:rsidR="00CC51DC" w:rsidRDefault="00CC51DC" w:rsidP="00CC51DC">
      <w:pPr>
        <w:spacing w:after="0" w:line="240" w:lineRule="auto"/>
      </w:pPr>
    </w:p>
    <w:p w:rsidR="00C65371" w:rsidRDefault="00D6660F" w:rsidP="00CC51DC">
      <w:pPr>
        <w:spacing w:after="0" w:line="240" w:lineRule="auto"/>
      </w:pPr>
      <w:r>
        <w:tab/>
        <w:t xml:space="preserve">The second question on the survey asked the student’s to explain two important things that they learned in the lesson.  Unfortunately, most students gave very short answers to this question.  I believe a reason for this may be that this topic was review </w:t>
      </w:r>
      <w:r w:rsidR="004470AC">
        <w:t xml:space="preserve">for some students in the class, in addition, many seventh grade students are not apt to write long responses when given only a couple of minutes to respond.  Many students made comments about the vocabulary words we discussed that day.  About 50% of the responses stated something significant about the learning experience.  </w:t>
      </w:r>
      <w:r w:rsidR="00C65371">
        <w:t xml:space="preserve">Some examples of student responses are listed below:  </w:t>
      </w:r>
      <w:r w:rsidR="004470AC">
        <w:t xml:space="preserve"> </w:t>
      </w:r>
      <w:r>
        <w:t xml:space="preserve"> </w:t>
      </w:r>
    </w:p>
    <w:p w:rsidR="00C65371" w:rsidRDefault="00C65371" w:rsidP="00CC51DC">
      <w:pPr>
        <w:spacing w:after="0" w:line="240" w:lineRule="auto"/>
      </w:pPr>
    </w:p>
    <w:p w:rsidR="00C65371" w:rsidRDefault="004470AC" w:rsidP="00C65371">
      <w:pPr>
        <w:spacing w:after="0" w:line="240" w:lineRule="auto"/>
        <w:jc w:val="center"/>
        <w:rPr>
          <w:i/>
        </w:rPr>
      </w:pPr>
      <w:r w:rsidRPr="00C65371">
        <w:rPr>
          <w:i/>
        </w:rPr>
        <w:t xml:space="preserve">“To find equivalent fractions, you can multiply and/or divide.  </w:t>
      </w:r>
      <w:r w:rsidR="00C65371">
        <w:rPr>
          <w:i/>
        </w:rPr>
        <w:br/>
      </w:r>
      <w:r w:rsidRPr="00C65371">
        <w:rPr>
          <w:i/>
        </w:rPr>
        <w:t>And to find a fraction’s simplest form, you must divide.”</w:t>
      </w:r>
    </w:p>
    <w:p w:rsidR="00C65371" w:rsidRDefault="004470AC" w:rsidP="00CC51DC">
      <w:pPr>
        <w:spacing w:after="0" w:line="240" w:lineRule="auto"/>
      </w:pPr>
      <w:r>
        <w:t xml:space="preserve"> </w:t>
      </w:r>
    </w:p>
    <w:p w:rsidR="00C65371" w:rsidRDefault="004470AC" w:rsidP="00C65371">
      <w:pPr>
        <w:spacing w:after="0" w:line="240" w:lineRule="auto"/>
        <w:jc w:val="center"/>
      </w:pPr>
      <w:r w:rsidRPr="00C65371">
        <w:rPr>
          <w:i/>
        </w:rPr>
        <w:t xml:space="preserve">“In order to find the simplest form of a fraction, you have to divide both the numerator </w:t>
      </w:r>
      <w:r w:rsidR="00C65371">
        <w:rPr>
          <w:i/>
        </w:rPr>
        <w:br/>
      </w:r>
      <w:r w:rsidRPr="00C65371">
        <w:rPr>
          <w:i/>
        </w:rPr>
        <w:t>and the denominator by the same number.”</w:t>
      </w:r>
    </w:p>
    <w:p w:rsidR="00C65371" w:rsidRDefault="00C65371" w:rsidP="00CC51DC">
      <w:pPr>
        <w:spacing w:after="0" w:line="240" w:lineRule="auto"/>
      </w:pPr>
    </w:p>
    <w:p w:rsidR="00C65371" w:rsidRDefault="004470AC" w:rsidP="00C65371">
      <w:pPr>
        <w:spacing w:after="0" w:line="240" w:lineRule="auto"/>
        <w:jc w:val="center"/>
        <w:rPr>
          <w:i/>
        </w:rPr>
      </w:pPr>
      <w:r w:rsidRPr="00C65371">
        <w:rPr>
          <w:i/>
        </w:rPr>
        <w:lastRenderedPageBreak/>
        <w:t xml:space="preserve">“Simplest </w:t>
      </w:r>
      <w:proofErr w:type="gramStart"/>
      <w:r w:rsidRPr="00C65371">
        <w:rPr>
          <w:i/>
        </w:rPr>
        <w:t>form – Just take</w:t>
      </w:r>
      <w:proofErr w:type="gramEnd"/>
      <w:r w:rsidRPr="00C65371">
        <w:rPr>
          <w:i/>
        </w:rPr>
        <w:t xml:space="preserve"> the fraction and see what number goes into both of them then </w:t>
      </w:r>
      <w:r w:rsidR="00C65371">
        <w:rPr>
          <w:i/>
        </w:rPr>
        <w:br/>
      </w:r>
      <w:r w:rsidRPr="00C65371">
        <w:rPr>
          <w:i/>
        </w:rPr>
        <w:t>div</w:t>
      </w:r>
      <w:r w:rsidR="00C65371" w:rsidRPr="00C65371">
        <w:rPr>
          <w:i/>
        </w:rPr>
        <w:t>i</w:t>
      </w:r>
      <w:r w:rsidRPr="00C65371">
        <w:rPr>
          <w:i/>
        </w:rPr>
        <w:t xml:space="preserve">de by that number. </w:t>
      </w:r>
      <w:r w:rsidR="00C65371" w:rsidRPr="00C65371">
        <w:rPr>
          <w:i/>
        </w:rPr>
        <w:t xml:space="preserve">  Equivalent fractions – Just multiply or divide by the</w:t>
      </w:r>
      <w:r w:rsidR="00C65371">
        <w:rPr>
          <w:i/>
        </w:rPr>
        <w:br/>
      </w:r>
      <w:r w:rsidR="00C65371" w:rsidRPr="00C65371">
        <w:rPr>
          <w:i/>
        </w:rPr>
        <w:t xml:space="preserve"> fraction and you find a fraction that matches.”</w:t>
      </w:r>
    </w:p>
    <w:p w:rsidR="00C65371" w:rsidRPr="00C65371" w:rsidRDefault="00C65371" w:rsidP="00C65371">
      <w:pPr>
        <w:spacing w:after="0" w:line="240" w:lineRule="auto"/>
        <w:jc w:val="center"/>
        <w:rPr>
          <w:i/>
        </w:rPr>
      </w:pPr>
    </w:p>
    <w:p w:rsidR="00C65371" w:rsidRDefault="00C65371" w:rsidP="00CC51DC">
      <w:pPr>
        <w:spacing w:after="0" w:line="240" w:lineRule="auto"/>
      </w:pPr>
      <w:r>
        <w:t>Although the mathematical detail is not specified in these examples, the students demonstrated a solid understand</w:t>
      </w:r>
      <w:r w:rsidR="00CD5A10">
        <w:t>ing</w:t>
      </w:r>
      <w:r>
        <w:t xml:space="preserve"> of the process they went through to find equivalent fractions and the simplest form of a fraction.  Many of the responses that did not describe something significant still mentioned equivalent fractions or simplest form. </w:t>
      </w:r>
    </w:p>
    <w:p w:rsidR="00C65371" w:rsidRDefault="00C65371" w:rsidP="00CC51DC">
      <w:pPr>
        <w:spacing w:after="0" w:line="240" w:lineRule="auto"/>
      </w:pPr>
      <w:r>
        <w:tab/>
      </w:r>
      <w:r w:rsidR="00251BF1">
        <w:t xml:space="preserve">The overall unit that the students are studying is titled “Number Patterns and Fractions.”  </w:t>
      </w:r>
      <w:r w:rsidR="00D7223B">
        <w:t xml:space="preserve">The student responses to this question were across the board.  Nearly half of the students reported that it was on fractions, which I consider to be on target.  Although a few did not answer the question, the other half of the class listed a specific topic about fractions, thus not understanding how this lesson tied into the overall unit.  </w:t>
      </w:r>
      <w:proofErr w:type="gramStart"/>
      <w:r w:rsidR="00D7223B">
        <w:t>Students</w:t>
      </w:r>
      <w:proofErr w:type="gramEnd"/>
      <w:r w:rsidR="00D7223B">
        <w:t xml:space="preserve"> who did make </w:t>
      </w:r>
      <w:r w:rsidR="004F6B64">
        <w:t xml:space="preserve">the connection to the unit made other remarks about how it helped them remember about fractions, showed them how to use common factors to reduce, and how fractions were easier to use when in simplest form.  </w:t>
      </w:r>
    </w:p>
    <w:p w:rsidR="00FD6503" w:rsidRDefault="00C65371" w:rsidP="00CC51DC">
      <w:pPr>
        <w:spacing w:after="0" w:line="240" w:lineRule="auto"/>
      </w:pPr>
      <w:r>
        <w:tab/>
      </w:r>
      <w:r w:rsidR="004470AC">
        <w:t xml:space="preserve"> </w:t>
      </w:r>
      <w:r w:rsidR="00D6660F">
        <w:t xml:space="preserve"> </w:t>
      </w:r>
      <w:r w:rsidR="00EF7A97">
        <w:t xml:space="preserve">The final survey question was hinting at learning styles for which the students responded well to in the lesson.  Although nearly half of the students did not answer this question, or answered the question with the answer of “fractions,” some students did </w:t>
      </w:r>
      <w:r w:rsidR="00E85085">
        <w:t>get the gist of what t</w:t>
      </w:r>
      <w:r w:rsidR="00EF7A97">
        <w:t>he question was asking.  Of the 12 responses related to how I taught the lesson, five students commented on how I explained the idea to them in class, three students mentioned that I wrote on the board, three talked about me asking them q</w:t>
      </w:r>
      <w:r w:rsidR="00E85085">
        <w:t>uestions, and one student commented on</w:t>
      </w:r>
      <w:r w:rsidR="00EF7A97">
        <w:t xml:space="preserve"> going through several examples.  My cooperating teacher often teaches a lesson by having students open their books and </w:t>
      </w:r>
      <w:r w:rsidR="00E85085">
        <w:t xml:space="preserve">then talks through the examples in the book.  </w:t>
      </w:r>
      <w:r w:rsidR="00EF7A97">
        <w:t xml:space="preserve">The questioning style I used was different for the students, and I also wrote more on the board than my cooperating teacher generally does.  This information tells me that several students in the classroom are visual learners and </w:t>
      </w:r>
      <w:r w:rsidR="00E85085">
        <w:t xml:space="preserve">thus </w:t>
      </w:r>
      <w:r w:rsidR="00EF7A97">
        <w:t xml:space="preserve">need to see examples and the process drawn on the board.  I was surprised that no students commented on the hands-on fraction strip activity, however, fractions are review for them, and we did the activity at the beginning of the lesson.  </w:t>
      </w:r>
      <w:r w:rsidR="002B661C">
        <w:t xml:space="preserve"> Using this information</w:t>
      </w:r>
      <w:r w:rsidR="00E85085">
        <w:t xml:space="preserve"> as I teach this class</w:t>
      </w:r>
      <w:r w:rsidR="003E15DF">
        <w:t xml:space="preserve"> in the future</w:t>
      </w:r>
      <w:r w:rsidR="002B661C">
        <w:t>,</w:t>
      </w:r>
      <w:r w:rsidR="00E85085">
        <w:t xml:space="preserve"> </w:t>
      </w:r>
      <w:r w:rsidR="002B661C">
        <w:t xml:space="preserve">I will continue to go through examples on the board, question students about concepts instead of telling them how to do something, and incorporate more hands-on learning activities. </w:t>
      </w:r>
    </w:p>
    <w:p w:rsidR="00E85085" w:rsidRDefault="002B661C" w:rsidP="00CC51DC">
      <w:pPr>
        <w:spacing w:after="0" w:line="240" w:lineRule="auto"/>
      </w:pPr>
      <w:r>
        <w:tab/>
      </w:r>
      <w:r w:rsidR="00343692">
        <w:t>As I look back at the lesson, there are a few things that I might change in order to teach the lesson</w:t>
      </w:r>
      <w:r w:rsidR="00E85085">
        <w:t xml:space="preserve"> more effectively</w:t>
      </w:r>
      <w:r w:rsidR="00343692">
        <w:t xml:space="preserve"> in the future.  I</w:t>
      </w:r>
      <w:r w:rsidR="00E85085">
        <w:t xml:space="preserve"> have mentioned several </w:t>
      </w:r>
      <w:r w:rsidR="00343692">
        <w:t>things</w:t>
      </w:r>
      <w:r w:rsidR="00E85085">
        <w:t xml:space="preserve"> in</w:t>
      </w:r>
      <w:r w:rsidR="00343692">
        <w:t xml:space="preserve"> </w:t>
      </w:r>
      <w:r w:rsidR="00E85085">
        <w:t xml:space="preserve">the </w:t>
      </w:r>
      <w:r w:rsidR="00343692">
        <w:t>above</w:t>
      </w:r>
      <w:r w:rsidR="00E85085">
        <w:t xml:space="preserve"> discussion</w:t>
      </w:r>
      <w:r w:rsidR="00343692">
        <w:t xml:space="preserve">, including having students work in pairs, do more hands-on activities, and use a more discovery-based approach.  Another way for me to be more effective is to </w:t>
      </w:r>
      <w:r w:rsidR="00E85085">
        <w:t>know and use all students’ names during the discussion,</w:t>
      </w:r>
      <w:r w:rsidR="00343692">
        <w:t xml:space="preserve"> and </w:t>
      </w:r>
      <w:r w:rsidR="00E85085">
        <w:t xml:space="preserve">also to </w:t>
      </w:r>
      <w:r w:rsidR="00343692">
        <w:t xml:space="preserve">find out more about their interests.  I have been learning names and talking to students </w:t>
      </w:r>
      <w:r w:rsidR="00E85085">
        <w:t xml:space="preserve">during </w:t>
      </w:r>
      <w:r w:rsidR="00343692">
        <w:t>my observation, but I found in my teaching experience that I often would question whether or not I was calling a student by their correct name or not, and thus often did not use student’s names during the discussion.  I will continue to work on their names and have them all down when I start teaching their class next semester.  I also liked receiving the feedback from the students in the form of the informal survey to check for understanding.  Although I may modify the questions slightly, I would like to occasionally have students answer a question about the lesson so that I can continue to modify my teaching strategies to better align with the needs of the students and to improve student learning.</w:t>
      </w:r>
    </w:p>
    <w:p w:rsidR="00DD5A7E" w:rsidRDefault="00DD5A7E" w:rsidP="00CC51DC">
      <w:pPr>
        <w:spacing w:after="0" w:line="240" w:lineRule="auto"/>
      </w:pPr>
    </w:p>
    <w:p w:rsidR="00DD5A7E" w:rsidRDefault="00DD5A7E" w:rsidP="00CC51DC">
      <w:pPr>
        <w:spacing w:after="0" w:line="240" w:lineRule="auto"/>
      </w:pPr>
    </w:p>
    <w:p w:rsidR="00DD5A7E" w:rsidRDefault="00DD5A7E" w:rsidP="00CC51DC">
      <w:pPr>
        <w:spacing w:after="0" w:line="240" w:lineRule="auto"/>
      </w:pPr>
      <w:r>
        <w:t xml:space="preserve">References: </w:t>
      </w:r>
    </w:p>
    <w:p w:rsidR="00DD5A7E" w:rsidRDefault="00DD5A7E" w:rsidP="00DD5A7E">
      <w:pPr>
        <w:spacing w:after="0" w:line="240" w:lineRule="auto"/>
      </w:pPr>
      <w:r>
        <w:t xml:space="preserve">        </w:t>
      </w:r>
      <w:proofErr w:type="gramStart"/>
      <w:r>
        <w:t xml:space="preserve">Boswell, L., </w:t>
      </w:r>
      <w:proofErr w:type="spellStart"/>
      <w:r>
        <w:t>Kanold</w:t>
      </w:r>
      <w:proofErr w:type="spellEnd"/>
      <w:r>
        <w:t>, T., Larson, R., Stiff, L., (2007).</w:t>
      </w:r>
      <w:proofErr w:type="gramEnd"/>
      <w:r>
        <w:t xml:space="preserve">  </w:t>
      </w:r>
      <w:r w:rsidRPr="00DD5A7E">
        <w:rPr>
          <w:i/>
        </w:rPr>
        <w:t xml:space="preserve">Math: Course </w:t>
      </w:r>
      <w:r w:rsidRPr="00A17226">
        <w:t>2</w:t>
      </w:r>
      <w:r>
        <w:t xml:space="preserve">.  Evanston, IL:  </w:t>
      </w:r>
      <w:r w:rsidRPr="00A17226">
        <w:t>McDougal</w:t>
      </w:r>
      <w:r>
        <w:t xml:space="preserve"> </w:t>
      </w:r>
      <w:proofErr w:type="spellStart"/>
      <w:r>
        <w:t>Littell</w:t>
      </w:r>
      <w:proofErr w:type="spellEnd"/>
      <w:r>
        <w:t>.</w:t>
      </w:r>
    </w:p>
    <w:p w:rsidR="00DD5A7E" w:rsidRDefault="00DD5A7E" w:rsidP="00CC51DC">
      <w:pPr>
        <w:spacing w:after="0" w:line="240" w:lineRule="auto"/>
      </w:pPr>
    </w:p>
    <w:sectPr w:rsidR="00DD5A7E" w:rsidSect="003C25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518F4"/>
    <w:multiLevelType w:val="hybridMultilevel"/>
    <w:tmpl w:val="0264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C240F8"/>
    <w:multiLevelType w:val="hybridMultilevel"/>
    <w:tmpl w:val="4D6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E60"/>
    <w:rsid w:val="00251BF1"/>
    <w:rsid w:val="002B661C"/>
    <w:rsid w:val="00343692"/>
    <w:rsid w:val="003C2553"/>
    <w:rsid w:val="003E15DF"/>
    <w:rsid w:val="004470AC"/>
    <w:rsid w:val="004F6B64"/>
    <w:rsid w:val="005F3D26"/>
    <w:rsid w:val="00670564"/>
    <w:rsid w:val="00844F42"/>
    <w:rsid w:val="00A07304"/>
    <w:rsid w:val="00C65371"/>
    <w:rsid w:val="00CA7E60"/>
    <w:rsid w:val="00CC51DC"/>
    <w:rsid w:val="00CD5A10"/>
    <w:rsid w:val="00D6660F"/>
    <w:rsid w:val="00D7223B"/>
    <w:rsid w:val="00DD5A7E"/>
    <w:rsid w:val="00E8164C"/>
    <w:rsid w:val="00E85085"/>
    <w:rsid w:val="00EF7A97"/>
    <w:rsid w:val="00FD6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F42"/>
    <w:pPr>
      <w:ind w:left="720"/>
      <w:contextualSpacing/>
    </w:pPr>
  </w:style>
  <w:style w:type="table" w:styleId="TableGrid">
    <w:name w:val="Table Grid"/>
    <w:basedOn w:val="TableNormal"/>
    <w:uiPriority w:val="59"/>
    <w:rsid w:val="00CC5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KP</cp:lastModifiedBy>
  <cp:revision>17</cp:revision>
  <dcterms:created xsi:type="dcterms:W3CDTF">2007-11-16T16:41:00Z</dcterms:created>
  <dcterms:modified xsi:type="dcterms:W3CDTF">2007-11-18T20:51:00Z</dcterms:modified>
</cp:coreProperties>
</file>